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51177" w14:textId="77777777" w:rsidR="00C02FE0" w:rsidRDefault="00C02FE0" w:rsidP="00C02FE0">
      <w:pPr>
        <w:pStyle w:val="TYTDZOZNoznaczenietytuulubdziau"/>
      </w:pPr>
      <w:r w:rsidRPr="00A442E4">
        <w:rPr>
          <w:rStyle w:val="Ppogrubienie"/>
        </w:rPr>
        <w:t>UZASADNIENIE</w:t>
      </w:r>
    </w:p>
    <w:p w14:paraId="216BD507" w14:textId="0BC34051" w:rsidR="00C02FE0" w:rsidRDefault="00BF0256" w:rsidP="00C02FE0">
      <w:pPr>
        <w:pStyle w:val="NIEARTTEKSTtekstnieartykuowanynppodstprawnarozplubpreambua"/>
      </w:pPr>
      <w:r>
        <w:t>P</w:t>
      </w:r>
      <w:r w:rsidR="00C02FE0">
        <w:t>rojek</w:t>
      </w:r>
      <w:r w:rsidR="00824005">
        <w:t>t</w:t>
      </w:r>
      <w:r w:rsidR="00C02FE0">
        <w:t xml:space="preserve"> rozporządzenia Ministra Sprawiedliwości </w:t>
      </w:r>
      <w:r w:rsidR="00C02FE0" w:rsidRPr="0054124B">
        <w:t>w sprawie określenia wzoru identyfikatora komornika sądowego</w:t>
      </w:r>
      <w:r w:rsidR="00C02FE0">
        <w:t xml:space="preserve"> został opracowany na podstawie upoważnienia z art. 29 ust. 4 ustawy z dnia 22 marca 2018 r. o komornikach sądowych (Dz. U. z 2024 r. poz. 1458). Stosownie do tego przepisu </w:t>
      </w:r>
      <w:r w:rsidR="00C02FE0" w:rsidRPr="0054124B">
        <w:t>Minister Sprawiedliwości, po zasięgnięciu opinii Krajowej Rady Komorniczej, określi, w drodze rozporządzenia, wzór identyfikatora, mając na względzie konieczność zachowania odpowiedniej przejrzystości i czytelności danych oraz konieczność zabezpieczenia przed podrobieniem.</w:t>
      </w:r>
    </w:p>
    <w:p w14:paraId="40D83C5E" w14:textId="77777777" w:rsidR="00C02FE0" w:rsidRDefault="00C02FE0" w:rsidP="00C02FE0">
      <w:pPr>
        <w:pStyle w:val="NIEARTTEKSTtekstnieartykuowanynppodstprawnarozplubpreambua"/>
      </w:pPr>
      <w:r>
        <w:t>Aktualny wzór dokumentu identyfikatora komornika sądowego określa rozporządzenie Ministra Sprawiedliwości z dnia 30 listopada 2018 roku w sprawie określenia wzoru identyfikatora komornika sądowego (Dz. U. poz. 2336). Wobec niespełniania przez obecny wzór identyfikatora komornika sądowego wymagań ustawowych w zakresie zabezpieczeń dokumentu publicznego przed fałszerstwem, powstała konieczność podjęcia prac legislacyjnych zmierzających do wydania nowego rozporządzenia.</w:t>
      </w:r>
    </w:p>
    <w:p w14:paraId="4290BF49" w14:textId="2025A0AA" w:rsidR="00C02FE0" w:rsidRDefault="00C02FE0" w:rsidP="00C02FE0">
      <w:pPr>
        <w:pStyle w:val="ARTartustawynprozporzdzenia"/>
      </w:pPr>
      <w:r>
        <w:t>Realizując obowiązki wynikające z art. 12–14 ustawy z dnia 22 listopada 2018 r. o</w:t>
      </w:r>
      <w:r w:rsidR="006060FC">
        <w:t> </w:t>
      </w:r>
      <w:r>
        <w:t>dokumentach publicznych, Ministerstwo Sprawiedliwości uzyskało od powołanego w</w:t>
      </w:r>
      <w:r w:rsidR="006060FC">
        <w:t> </w:t>
      </w:r>
      <w:r>
        <w:t xml:space="preserve">Ministerstwie Spraw Wewnętrznych i Administracji Zespołu </w:t>
      </w:r>
      <w:r w:rsidRPr="00F961E4">
        <w:t xml:space="preserve">do spraw opracowania wzoru Identyfikatora Komornika Sądowego </w:t>
      </w:r>
      <w:r>
        <w:t>rekomendację z dnia 12 maja 2021 r., do opracowania projektu wzoru identyfikatora komornika sądowego, która następnie została zatwierdzona przez powołaną przy tym Ministerstwie Komisję do spraw dokumentów publicznych.</w:t>
      </w:r>
    </w:p>
    <w:p w14:paraId="460724E4" w14:textId="77777777" w:rsidR="00C02FE0" w:rsidRDefault="00C02FE0" w:rsidP="00C02FE0">
      <w:pPr>
        <w:pStyle w:val="ARTartustawynprozporzdzenia"/>
      </w:pPr>
      <w:r>
        <w:t>Wynikające z wymienionych przepisów wymagania, które znalazły skonkretyzowany wyraz w zapisach rekomendacji, skutkowały tym, że nie tylko wytworzenie nowego dokumentu, ale nawet samo zaprojektowanie musiało zostać powierzone wyspecjalizowanemu podmiotowi. Z tego względu, w oparciu o zatwierdzoną rekomendację Polska Wytwórnia Papierów Wartościowych S.A. z siedzibą w Warszawie opracowała projekt wzoru dokumentu identyfikatora komornika sądowego z opisem zabezpieczeń oraz wykonała jego próbny wydruk (w formie wydruku zastępczego). Projekt wzoru dokumentu został zaakceptowany przez Zespół do spraw opracowania wzoru Identyfikatora Komornika Sądowego, o czym Komisja do spraw dokumentów publicznych poinformowała Prezesa Krajowej Rady Komorniczej pismem z 20 lipca 2021 r.</w:t>
      </w:r>
    </w:p>
    <w:p w14:paraId="1B1F22B6" w14:textId="77777777" w:rsidR="00C02FE0" w:rsidRDefault="00C02FE0" w:rsidP="00C02FE0">
      <w:pPr>
        <w:pStyle w:val="ARTartustawynprozporzdzenia"/>
      </w:pPr>
    </w:p>
    <w:p w14:paraId="14835877" w14:textId="7B19673C" w:rsidR="00C02FE0" w:rsidRPr="00E04A29" w:rsidRDefault="00C02FE0" w:rsidP="005D31D5">
      <w:pPr>
        <w:pStyle w:val="ARTartustawynprozporzdzenia"/>
      </w:pPr>
      <w:r>
        <w:lastRenderedPageBreak/>
        <w:t xml:space="preserve">Ze względu na wzrost poziomu informatyzacji społeczeństwa i użytkowników usług cyfrowych, zasadnym jest rozszerzenie zakresu stosowania publicznej aplikacji mobilnej </w:t>
      </w:r>
      <w:proofErr w:type="spellStart"/>
      <w:r>
        <w:t>mObywatel</w:t>
      </w:r>
      <w:proofErr w:type="spellEnd"/>
      <w:r>
        <w:t xml:space="preserve"> przez wprowadzenie usługi</w:t>
      </w:r>
      <w:r w:rsidR="005D31D5" w:rsidRPr="005D31D5">
        <w:t xml:space="preserve"> identyfikatora komornika sądowego wydawanego w</w:t>
      </w:r>
      <w:r w:rsidR="005D31D5">
        <w:t> </w:t>
      </w:r>
      <w:r w:rsidR="005D31D5" w:rsidRPr="005D31D5">
        <w:t>formie</w:t>
      </w:r>
      <w:r w:rsidR="005D31D5">
        <w:t xml:space="preserve"> </w:t>
      </w:r>
      <w:r w:rsidR="005D31D5" w:rsidRPr="005D31D5">
        <w:t>dokumentu mobilnego</w:t>
      </w:r>
      <w:r>
        <w:t xml:space="preserve">, którego wzór </w:t>
      </w:r>
      <w:r w:rsidRPr="0005698C">
        <w:t>wizualizacji na ekranie urządzenia mobilnego jest określony w załączniku do rozporządzenia</w:t>
      </w:r>
      <w:r>
        <w:t>.</w:t>
      </w:r>
    </w:p>
    <w:p w14:paraId="0DE5977D" w14:textId="089E2D77" w:rsidR="00C02FE0" w:rsidRPr="00497A13" w:rsidRDefault="00C02FE0" w:rsidP="00497A13">
      <w:pPr>
        <w:pStyle w:val="ARTartustawynprozporzdzenia"/>
      </w:pPr>
      <w:r w:rsidRPr="0072430E">
        <w:t xml:space="preserve">W projektowanym § </w:t>
      </w:r>
      <w:r>
        <w:t>3</w:t>
      </w:r>
      <w:r w:rsidRPr="0072430E">
        <w:t xml:space="preserve"> zawarto przepis przejściowy, zgodnie z którym identyfikator komornika sądowego wydany na podstawie dotychczasowych przepisów zachowa ważność do czasu wydania nowego identyfikatora</w:t>
      </w:r>
      <w:r w:rsidR="007A73AB">
        <w:t xml:space="preserve"> w formie</w:t>
      </w:r>
      <w:r w:rsidRPr="0072430E">
        <w:t>, o któr</w:t>
      </w:r>
      <w:r w:rsidR="007A73AB">
        <w:t>ej</w:t>
      </w:r>
      <w:r w:rsidRPr="0072430E">
        <w:t xml:space="preserve"> mowa w § 1 </w:t>
      </w:r>
      <w:r w:rsidR="00D616F4">
        <w:t xml:space="preserve">pkt 1 lub 2 </w:t>
      </w:r>
      <w:r w:rsidRPr="0072430E">
        <w:t>projektu</w:t>
      </w:r>
      <w:r w:rsidR="003B63C4">
        <w:t xml:space="preserve">, </w:t>
      </w:r>
      <w:r w:rsidRPr="0072430E">
        <w:t xml:space="preserve">nie dłużej niż do </w:t>
      </w:r>
      <w:r w:rsidR="00D616F4">
        <w:t xml:space="preserve">dnia </w:t>
      </w:r>
      <w:r w:rsidRPr="0072430E">
        <w:t xml:space="preserve">31 grudnia 2025 r. </w:t>
      </w:r>
      <w:r w:rsidR="00B919D2">
        <w:t xml:space="preserve">W związku z powyższym </w:t>
      </w:r>
      <w:r w:rsidR="003B63C4">
        <w:t>identyfikator wydany na podstawie dotychczasowych przepisów zachowa ważność do czasu wydania nowego identyfikatora w</w:t>
      </w:r>
      <w:r w:rsidR="00A87222">
        <w:t xml:space="preserve"> którejkolwiek z ww. form, a zatem w</w:t>
      </w:r>
      <w:r w:rsidR="003B63C4">
        <w:t xml:space="preserve"> formie karty plastikowej, której wzór jest określony w</w:t>
      </w:r>
      <w:r w:rsidR="00B919D2">
        <w:t> </w:t>
      </w:r>
      <w:r w:rsidR="003B63C4">
        <w:t>załączniku nr 1 do nowelizowanego rozporządzenia</w:t>
      </w:r>
      <w:r w:rsidR="00456EF1">
        <w:t>,</w:t>
      </w:r>
      <w:r w:rsidR="003B63C4">
        <w:t xml:space="preserve"> lub w formie dokumentu mobilnego, o</w:t>
      </w:r>
      <w:r w:rsidR="00B919D2">
        <w:t> </w:t>
      </w:r>
      <w:r w:rsidR="003B63C4">
        <w:t xml:space="preserve">którym mowa w art. 2 pkt 7 </w:t>
      </w:r>
      <w:r w:rsidR="00B919D2">
        <w:t>ustawy z dnia 26 maja 2023</w:t>
      </w:r>
      <w:r w:rsidR="00A87222">
        <w:t> </w:t>
      </w:r>
      <w:r w:rsidR="00B919D2">
        <w:t xml:space="preserve">r. o aplikacji </w:t>
      </w:r>
      <w:proofErr w:type="spellStart"/>
      <w:r w:rsidR="00B919D2">
        <w:t>mObywatel</w:t>
      </w:r>
      <w:proofErr w:type="spellEnd"/>
      <w:r w:rsidR="00B919D2">
        <w:t xml:space="preserve"> (Dz. U. z 2024 r. poz. 1275 i 1717), którego wzór wizualizacji na ekranie urządzenia mobilnego jest określony w załączniku nr 2 do nowelizowanego rozporządzenia.</w:t>
      </w:r>
      <w:r w:rsidR="00497A13">
        <w:t xml:space="preserve"> Za wprowadzeniem </w:t>
      </w:r>
      <w:r w:rsidR="00456EF1">
        <w:t xml:space="preserve">maksymalnego terminu zachowania ważności przez dotychczasowe identyfikatory </w:t>
      </w:r>
      <w:r w:rsidR="00456EF1" w:rsidRPr="00456EF1">
        <w:t>–</w:t>
      </w:r>
      <w:r w:rsidR="00456EF1">
        <w:t xml:space="preserve"> do dnia 31 grudnia 2025 r. </w:t>
      </w:r>
      <w:r w:rsidR="00497A13">
        <w:t xml:space="preserve">przemawia </w:t>
      </w:r>
      <w:r>
        <w:t xml:space="preserve">znaczna liczba </w:t>
      </w:r>
      <w:r w:rsidRPr="0072430E">
        <w:t>identyfikatorów</w:t>
      </w:r>
      <w:r w:rsidR="00497A13">
        <w:t>, która będzie objęta</w:t>
      </w:r>
      <w:r w:rsidR="00456EF1">
        <w:t xml:space="preserve"> wymianą</w:t>
      </w:r>
      <w:r w:rsidR="00497A13">
        <w:t xml:space="preserve"> </w:t>
      </w:r>
      <w:r w:rsidRPr="0072430E">
        <w:t>(na</w:t>
      </w:r>
      <w:r w:rsidR="00D616F4">
        <w:t> </w:t>
      </w:r>
      <w:r w:rsidRPr="0072430E">
        <w:t xml:space="preserve">dzień </w:t>
      </w:r>
      <w:r w:rsidR="00995057">
        <w:t xml:space="preserve">30 stycznia 2025 </w:t>
      </w:r>
      <w:r>
        <w:t>r.</w:t>
      </w:r>
      <w:r w:rsidRPr="0072430E">
        <w:t xml:space="preserve"> jest to liczba 3</w:t>
      </w:r>
      <w:r w:rsidR="00995057">
        <w:t>602</w:t>
      </w:r>
      <w:r w:rsidRPr="0072430E">
        <w:t xml:space="preserve"> szt</w:t>
      </w:r>
      <w:r>
        <w:t>uk</w:t>
      </w:r>
      <w:r w:rsidRPr="0072430E">
        <w:t>, na którą składają się identyfikatory dla 2</w:t>
      </w:r>
      <w:r w:rsidR="00F46287">
        <w:t>303</w:t>
      </w:r>
      <w:r w:rsidRPr="0072430E">
        <w:t xml:space="preserve"> komorników, 10</w:t>
      </w:r>
      <w:r w:rsidR="00F46287">
        <w:t>54</w:t>
      </w:r>
      <w:r w:rsidRPr="0072430E">
        <w:t xml:space="preserve"> asesorów komorniczych oraz </w:t>
      </w:r>
      <w:r w:rsidR="00F46287">
        <w:t>245</w:t>
      </w:r>
      <w:r w:rsidRPr="0072430E">
        <w:t xml:space="preserve"> aplikantów), jak również fakt, </w:t>
      </w:r>
      <w:r>
        <w:t>ż</w:t>
      </w:r>
      <w:r w:rsidRPr="0072430E">
        <w:t>e</w:t>
      </w:r>
      <w:r w:rsidR="00456EF1">
        <w:t> </w:t>
      </w:r>
      <w:r w:rsidRPr="0072430E">
        <w:t>proces wymiany identyfikatora podlega trzyetapowej weryfikacji wniosków</w:t>
      </w:r>
      <w:r>
        <w:t>,</w:t>
      </w:r>
      <w:r w:rsidRPr="0072430E">
        <w:t xml:space="preserve"> tj. kontroli poprawności wniosku i danych </w:t>
      </w:r>
      <w:r w:rsidR="004045FF">
        <w:t>w</w:t>
      </w:r>
      <w:r w:rsidRPr="0072430E">
        <w:t xml:space="preserve"> nim zawartych przez Rady Izb Komorniczych, Krajową Radę Komorniczą oraz spółkę </w:t>
      </w:r>
      <w:proofErr w:type="spellStart"/>
      <w:r w:rsidRPr="0072430E">
        <w:t>Currenda</w:t>
      </w:r>
      <w:proofErr w:type="spellEnd"/>
      <w:r w:rsidRPr="0072430E">
        <w:t xml:space="preserve">, która w ramach umowy </w:t>
      </w:r>
      <w:r w:rsidR="00D616F4" w:rsidRPr="00D616F4">
        <w:t xml:space="preserve">zawartej </w:t>
      </w:r>
      <w:r w:rsidRPr="0072430E">
        <w:t>z K</w:t>
      </w:r>
      <w:r w:rsidR="00D616F4">
        <w:t xml:space="preserve">rajową </w:t>
      </w:r>
      <w:r w:rsidRPr="0072430E">
        <w:t>R</w:t>
      </w:r>
      <w:r w:rsidR="00D616F4">
        <w:t xml:space="preserve">adą </w:t>
      </w:r>
      <w:r w:rsidRPr="0072430E">
        <w:t>K</w:t>
      </w:r>
      <w:r w:rsidR="00D616F4">
        <w:t>omorniczą</w:t>
      </w:r>
      <w:r w:rsidRPr="0072430E">
        <w:t xml:space="preserve"> realizuje zamówienia identyfikatorów w Państwowej Wytwórni Papierów Wartościowych</w:t>
      </w:r>
      <w:r w:rsidR="00FB7BCF">
        <w:t>.</w:t>
      </w:r>
    </w:p>
    <w:p w14:paraId="3BF14A1C" w14:textId="27356555" w:rsidR="00C02FE0" w:rsidRDefault="00C02FE0" w:rsidP="00C02FE0">
      <w:pPr>
        <w:pStyle w:val="NIEARTTEKSTtekstnieartykuowanynppodstprawnarozplubpreambua"/>
      </w:pPr>
      <w:r w:rsidRPr="00B20684">
        <w:t>Przewiduje się, że rozporządzenie wejdzie w życie po upływie 3 miesięcy od dnia ogłoszenia, albowiem tak</w:t>
      </w:r>
      <w:r w:rsidR="004045FF">
        <w:t>a</w:t>
      </w:r>
      <w:r w:rsidRPr="00B20684">
        <w:t xml:space="preserve"> vacatio legis pozwoli </w:t>
      </w:r>
      <w:r>
        <w:t>na dostosowanie systemu do realizacji usługi mobilnej identyfikatora komornika sądowego.</w:t>
      </w:r>
    </w:p>
    <w:p w14:paraId="29911C65" w14:textId="4F5EA741" w:rsidR="00204C4F" w:rsidRDefault="00204C4F" w:rsidP="00204C4F">
      <w:pPr>
        <w:pStyle w:val="ARTartustawynprozporzdzenia"/>
      </w:pPr>
      <w:r>
        <w:t>Nie ma możliwości podjęcia alternatywnych, w stosunku do projektowanych rozwiązań działań umożliwiających osiągnięcie zamierzonego celu.</w:t>
      </w:r>
    </w:p>
    <w:p w14:paraId="0B5924C8" w14:textId="63B96475" w:rsidR="00A25B89" w:rsidRDefault="00A25B89" w:rsidP="00204C4F">
      <w:pPr>
        <w:pStyle w:val="ARTartustawynprozporzdzenia"/>
      </w:pPr>
      <w:r w:rsidRPr="00A25B89">
        <w:t xml:space="preserve">Projekt nie zawiera przepisów technicznych, zatem nie podlega procedurze notyfikacji zgodnie z trybem przewidzianym w rozporządzeniu Rady Ministrów z dnia 23 grudnia 2002 r. </w:t>
      </w:r>
      <w:r w:rsidRPr="00A25B89">
        <w:lastRenderedPageBreak/>
        <w:t>w sprawie sposobu funkcjonowania krajowego systemu notyfikacji norm i aktów prawnych (Dz. U. poz. 2039 oraz z 2004 r. poz. 597).</w:t>
      </w:r>
    </w:p>
    <w:p w14:paraId="7359580F" w14:textId="77D685EB" w:rsidR="00A25B89" w:rsidRDefault="00A25B89" w:rsidP="00204C4F">
      <w:pPr>
        <w:pStyle w:val="ARTartustawynprozporzdzenia"/>
      </w:pPr>
      <w:r w:rsidRPr="00A25B89">
        <w:t>Przedmiot regulacji zawartej w projekcie nie jest objęty zakresem prawa Unii Europejskiej. Z tego względu projekt nie wymaga w opinii projektodawców przedstawienia właściwym organom i instytucjom Unii Europejskiej, w tym Europejskiemu Bankowi Centralnemu, w celu uzyskania opinii, dokonania powiadomienia, konsultacji albo uzgodnienia.</w:t>
      </w:r>
    </w:p>
    <w:p w14:paraId="2949FEDB" w14:textId="13CCB9EA" w:rsidR="00A25B89" w:rsidRDefault="00A25B89" w:rsidP="00204C4F">
      <w:pPr>
        <w:pStyle w:val="ARTartustawynprozporzdzenia"/>
      </w:pPr>
      <w:r w:rsidRPr="00A25B89">
        <w:t xml:space="preserve">Zawarte w projekcie regulacje nie będą miały wpływu na działalność </w:t>
      </w:r>
      <w:proofErr w:type="spellStart"/>
      <w:r w:rsidRPr="00A25B89">
        <w:t>mikroprzedsiębiorców</w:t>
      </w:r>
      <w:proofErr w:type="spellEnd"/>
      <w:r w:rsidRPr="00A25B89">
        <w:t xml:space="preserve">, małych i średnich przedsiębiorców, o których mowa w ustawie z dnia 6 marca 2018 r. – Prawo przedsiębiorców (Dz. U. z 2024 r. poz. 236, z </w:t>
      </w:r>
      <w:proofErr w:type="spellStart"/>
      <w:r w:rsidRPr="00A25B89">
        <w:t>późn</w:t>
      </w:r>
      <w:proofErr w:type="spellEnd"/>
      <w:r w:rsidRPr="00A25B89">
        <w:t>. zm.).</w:t>
      </w:r>
    </w:p>
    <w:p w14:paraId="1BBCE5B8" w14:textId="0D50725E" w:rsidR="006900FA" w:rsidRDefault="006900FA" w:rsidP="00204C4F">
      <w:pPr>
        <w:pStyle w:val="ARTartustawynprozporzdzenia"/>
      </w:pPr>
      <w:r w:rsidRPr="006900FA">
        <w:t>Zgodnie z § 52 uchwały nr 190 Rady Ministrów z dnia 29 października 2013 r. – Regulamin pracy Rady Ministrów (M.P. z 2024 r. poz. 806) oraz stosownie do wymogów art.</w:t>
      </w:r>
      <w:r>
        <w:t> </w:t>
      </w:r>
      <w:r w:rsidRPr="006900FA">
        <w:t>5</w:t>
      </w:r>
      <w:r w:rsidR="0069047C">
        <w:t> </w:t>
      </w:r>
      <w:r w:rsidRPr="006900FA">
        <w:t>ustawy z dnia 7 lipca 2005 r. o działalności lobbingowej w procesie stanowienia prawa (Dz. U. z 2017 r. poz. 248 oraz z 2024 r. poz. 1535) projekt zosta</w:t>
      </w:r>
      <w:r w:rsidR="00A26D5F">
        <w:t>ł</w:t>
      </w:r>
      <w:r w:rsidRPr="006900FA">
        <w:t xml:space="preserve"> udostępniony w Biuletynie Informacji Publicznej na stronie podmiotowej Rządowego Centrum Legislacji, w serwisie Rządowy Proces Legislacyjny.</w:t>
      </w:r>
    </w:p>
    <w:p w14:paraId="23587480" w14:textId="6B825979" w:rsidR="006900FA" w:rsidRDefault="006900FA" w:rsidP="00204C4F">
      <w:pPr>
        <w:pStyle w:val="ARTartustawynprozporzdzenia"/>
      </w:pPr>
      <w:r w:rsidRPr="006900FA">
        <w:t>Projekt nie podlega</w:t>
      </w:r>
      <w:r>
        <w:t>ł</w:t>
      </w:r>
      <w:r w:rsidRPr="006900FA">
        <w:t xml:space="preserve"> dokonaniu oceny OSR przez koordynatora OSR w trybie § 32 uchwały nr 190 Rady Ministrów z dnia 29 października 2013 r. – Regulamin pracy Rady Ministrów.</w:t>
      </w:r>
    </w:p>
    <w:p w14:paraId="0887EBAC" w14:textId="3AA5622B" w:rsidR="006900FA" w:rsidRPr="006900FA" w:rsidRDefault="006900FA" w:rsidP="006900FA">
      <w:pPr>
        <w:pStyle w:val="ARTartustawynprozporzdzenia"/>
      </w:pPr>
      <w:r w:rsidRPr="006900FA">
        <w:t>W celu spełnienia wymogów, o których mowa w § 42 ust. 1 uchwały nr 190 Rady Ministrów z dnia 29 października 2013 r. – Regulamin pracy Rady Ministrów, projekt zosta</w:t>
      </w:r>
      <w:r w:rsidR="00A26D5F">
        <w:t>ł</w:t>
      </w:r>
      <w:r w:rsidRPr="006900FA">
        <w:t xml:space="preserve"> skierowany do koordynatora OSR. </w:t>
      </w:r>
    </w:p>
    <w:p w14:paraId="471EB8FB" w14:textId="33F5C464" w:rsidR="006900FA" w:rsidRPr="00204C4F" w:rsidRDefault="006900FA" w:rsidP="006900FA">
      <w:pPr>
        <w:pStyle w:val="ARTartustawynprozporzdzenia"/>
      </w:pPr>
      <w:r w:rsidRPr="006900FA">
        <w:t>Projekt nie dotyczy warunków określonych w uchwale nr 20 Rady Ministrów z dnia 18</w:t>
      </w:r>
      <w:r w:rsidR="000C542C">
        <w:t> </w:t>
      </w:r>
      <w:r w:rsidRPr="006900FA">
        <w:t>lutego 2014 r. w sprawie zaleceń ujednolicenia terminów wejścia w życie niektórych aktów normatywnych (M.P</w:t>
      </w:r>
      <w:r w:rsidR="000C542C">
        <w:t>.</w:t>
      </w:r>
      <w:r w:rsidRPr="006900FA">
        <w:t xml:space="preserve"> poz. 205).</w:t>
      </w:r>
      <w:r w:rsidR="00D91330">
        <w:t xml:space="preserve"> </w:t>
      </w:r>
      <w:r w:rsidR="00515623">
        <w:t xml:space="preserve"> </w:t>
      </w:r>
      <w:r w:rsidR="00434A93">
        <w:t xml:space="preserve"> </w:t>
      </w:r>
    </w:p>
    <w:p w14:paraId="722D15CF" w14:textId="26AA49A0" w:rsidR="005D31D5" w:rsidRPr="00737F6A" w:rsidRDefault="005D31D5" w:rsidP="009E69E6">
      <w:pPr>
        <w:pStyle w:val="NIEARTTEKSTtekstnieartykuowanynppodstprawnarozplubpreambua"/>
      </w:pPr>
    </w:p>
    <w:sectPr w:rsidR="005D31D5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3A7E6" w14:textId="77777777" w:rsidR="00D74AEB" w:rsidRDefault="00D74AEB">
      <w:r>
        <w:separator/>
      </w:r>
    </w:p>
  </w:endnote>
  <w:endnote w:type="continuationSeparator" w:id="0">
    <w:p w14:paraId="24F19B61" w14:textId="77777777" w:rsidR="00D74AEB" w:rsidRDefault="00D7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0C2F3" w14:textId="77777777" w:rsidR="00D74AEB" w:rsidRDefault="00D74AEB">
      <w:r>
        <w:separator/>
      </w:r>
    </w:p>
  </w:footnote>
  <w:footnote w:type="continuationSeparator" w:id="0">
    <w:p w14:paraId="4787FE84" w14:textId="77777777" w:rsidR="00D74AEB" w:rsidRDefault="00D7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0A32F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68515840">
    <w:abstractNumId w:val="23"/>
  </w:num>
  <w:num w:numId="2" w16cid:durableId="826942029">
    <w:abstractNumId w:val="23"/>
  </w:num>
  <w:num w:numId="3" w16cid:durableId="879635044">
    <w:abstractNumId w:val="18"/>
  </w:num>
  <w:num w:numId="4" w16cid:durableId="1068263759">
    <w:abstractNumId w:val="18"/>
  </w:num>
  <w:num w:numId="5" w16cid:durableId="1248148934">
    <w:abstractNumId w:val="35"/>
  </w:num>
  <w:num w:numId="6" w16cid:durableId="1940793473">
    <w:abstractNumId w:val="31"/>
  </w:num>
  <w:num w:numId="7" w16cid:durableId="447704191">
    <w:abstractNumId w:val="35"/>
  </w:num>
  <w:num w:numId="8" w16cid:durableId="1215003026">
    <w:abstractNumId w:val="31"/>
  </w:num>
  <w:num w:numId="9" w16cid:durableId="512763379">
    <w:abstractNumId w:val="35"/>
  </w:num>
  <w:num w:numId="10" w16cid:durableId="509293747">
    <w:abstractNumId w:val="31"/>
  </w:num>
  <w:num w:numId="11" w16cid:durableId="2024434893">
    <w:abstractNumId w:val="14"/>
  </w:num>
  <w:num w:numId="12" w16cid:durableId="492258201">
    <w:abstractNumId w:val="10"/>
  </w:num>
  <w:num w:numId="13" w16cid:durableId="1706370361">
    <w:abstractNumId w:val="15"/>
  </w:num>
  <w:num w:numId="14" w16cid:durableId="651375370">
    <w:abstractNumId w:val="26"/>
  </w:num>
  <w:num w:numId="15" w16cid:durableId="1991862431">
    <w:abstractNumId w:val="14"/>
  </w:num>
  <w:num w:numId="16" w16cid:durableId="1535535423">
    <w:abstractNumId w:val="16"/>
  </w:num>
  <w:num w:numId="17" w16cid:durableId="2098556189">
    <w:abstractNumId w:val="8"/>
  </w:num>
  <w:num w:numId="18" w16cid:durableId="557210116">
    <w:abstractNumId w:val="3"/>
  </w:num>
  <w:num w:numId="19" w16cid:durableId="1866598176">
    <w:abstractNumId w:val="2"/>
  </w:num>
  <w:num w:numId="20" w16cid:durableId="41102666">
    <w:abstractNumId w:val="1"/>
  </w:num>
  <w:num w:numId="21" w16cid:durableId="1021858440">
    <w:abstractNumId w:val="0"/>
  </w:num>
  <w:num w:numId="22" w16cid:durableId="79719994">
    <w:abstractNumId w:val="9"/>
  </w:num>
  <w:num w:numId="23" w16cid:durableId="1623880097">
    <w:abstractNumId w:val="7"/>
  </w:num>
  <w:num w:numId="24" w16cid:durableId="116343138">
    <w:abstractNumId w:val="6"/>
  </w:num>
  <w:num w:numId="25" w16cid:durableId="385838142">
    <w:abstractNumId w:val="5"/>
  </w:num>
  <w:num w:numId="26" w16cid:durableId="573778450">
    <w:abstractNumId w:val="4"/>
  </w:num>
  <w:num w:numId="27" w16cid:durableId="947278813">
    <w:abstractNumId w:val="33"/>
  </w:num>
  <w:num w:numId="28" w16cid:durableId="147209896">
    <w:abstractNumId w:val="25"/>
  </w:num>
  <w:num w:numId="29" w16cid:durableId="169561867">
    <w:abstractNumId w:val="36"/>
  </w:num>
  <w:num w:numId="30" w16cid:durableId="1883055366">
    <w:abstractNumId w:val="32"/>
  </w:num>
  <w:num w:numId="31" w16cid:durableId="1680500148">
    <w:abstractNumId w:val="19"/>
  </w:num>
  <w:num w:numId="32" w16cid:durableId="1318534001">
    <w:abstractNumId w:val="11"/>
  </w:num>
  <w:num w:numId="33" w16cid:durableId="1141846869">
    <w:abstractNumId w:val="30"/>
  </w:num>
  <w:num w:numId="34" w16cid:durableId="261962282">
    <w:abstractNumId w:val="20"/>
  </w:num>
  <w:num w:numId="35" w16cid:durableId="938566799">
    <w:abstractNumId w:val="17"/>
  </w:num>
  <w:num w:numId="36" w16cid:durableId="99420099">
    <w:abstractNumId w:val="22"/>
  </w:num>
  <w:num w:numId="37" w16cid:durableId="1259829469">
    <w:abstractNumId w:val="27"/>
  </w:num>
  <w:num w:numId="38" w16cid:durableId="1936672654">
    <w:abstractNumId w:val="24"/>
  </w:num>
  <w:num w:numId="39" w16cid:durableId="134103417">
    <w:abstractNumId w:val="13"/>
  </w:num>
  <w:num w:numId="40" w16cid:durableId="1576939481">
    <w:abstractNumId w:val="29"/>
  </w:num>
  <w:num w:numId="41" w16cid:durableId="2071539961">
    <w:abstractNumId w:val="28"/>
  </w:num>
  <w:num w:numId="42" w16cid:durableId="136918850">
    <w:abstractNumId w:val="21"/>
  </w:num>
  <w:num w:numId="43" w16cid:durableId="462044036">
    <w:abstractNumId w:val="34"/>
  </w:num>
  <w:num w:numId="44" w16cid:durableId="8595130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0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240C0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C542C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D6273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4C4F"/>
    <w:rsid w:val="002114EF"/>
    <w:rsid w:val="002166AD"/>
    <w:rsid w:val="00217871"/>
    <w:rsid w:val="00221ED8"/>
    <w:rsid w:val="002231EA"/>
    <w:rsid w:val="00223FDF"/>
    <w:rsid w:val="0022428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2FE9"/>
    <w:rsid w:val="0029405D"/>
    <w:rsid w:val="00294C65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038"/>
    <w:rsid w:val="002D7188"/>
    <w:rsid w:val="002E1DE3"/>
    <w:rsid w:val="002E2AB6"/>
    <w:rsid w:val="002E3F34"/>
    <w:rsid w:val="002E40E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105E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0040"/>
    <w:rsid w:val="003A306E"/>
    <w:rsid w:val="003A60DC"/>
    <w:rsid w:val="003A6A46"/>
    <w:rsid w:val="003A7311"/>
    <w:rsid w:val="003A7A63"/>
    <w:rsid w:val="003B000C"/>
    <w:rsid w:val="003B0F1D"/>
    <w:rsid w:val="003B4A57"/>
    <w:rsid w:val="003B63C4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45FF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A93"/>
    <w:rsid w:val="00434D01"/>
    <w:rsid w:val="00435D26"/>
    <w:rsid w:val="00440C99"/>
    <w:rsid w:val="0044175C"/>
    <w:rsid w:val="00445F4D"/>
    <w:rsid w:val="004504C0"/>
    <w:rsid w:val="004550FB"/>
    <w:rsid w:val="00456EF1"/>
    <w:rsid w:val="00460F55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97A13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7DFD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623"/>
    <w:rsid w:val="005158F2"/>
    <w:rsid w:val="00526DFC"/>
    <w:rsid w:val="00526F43"/>
    <w:rsid w:val="00527651"/>
    <w:rsid w:val="005363AB"/>
    <w:rsid w:val="005365EF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3DC"/>
    <w:rsid w:val="005A75D8"/>
    <w:rsid w:val="005B713E"/>
    <w:rsid w:val="005C03B6"/>
    <w:rsid w:val="005C348E"/>
    <w:rsid w:val="005C68E1"/>
    <w:rsid w:val="005D31D5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60FC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451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0FA"/>
    <w:rsid w:val="00690252"/>
    <w:rsid w:val="0069047C"/>
    <w:rsid w:val="00692DD9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D4B11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02DE"/>
    <w:rsid w:val="00711221"/>
    <w:rsid w:val="00712675"/>
    <w:rsid w:val="00713808"/>
    <w:rsid w:val="007151B6"/>
    <w:rsid w:val="0071520D"/>
    <w:rsid w:val="00715BEE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5A02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5529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3AB"/>
    <w:rsid w:val="007A789F"/>
    <w:rsid w:val="007B75BC"/>
    <w:rsid w:val="007C0BD6"/>
    <w:rsid w:val="007C3806"/>
    <w:rsid w:val="007C5BB7"/>
    <w:rsid w:val="007D07D5"/>
    <w:rsid w:val="007D0B2B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7F7C13"/>
    <w:rsid w:val="00802949"/>
    <w:rsid w:val="0080301E"/>
    <w:rsid w:val="0080365F"/>
    <w:rsid w:val="0080717C"/>
    <w:rsid w:val="008110A3"/>
    <w:rsid w:val="00812BE5"/>
    <w:rsid w:val="00817429"/>
    <w:rsid w:val="00821514"/>
    <w:rsid w:val="00821E35"/>
    <w:rsid w:val="00824005"/>
    <w:rsid w:val="00824591"/>
    <w:rsid w:val="00824AED"/>
    <w:rsid w:val="00827820"/>
    <w:rsid w:val="00831B8B"/>
    <w:rsid w:val="0083255C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42D2"/>
    <w:rsid w:val="00856272"/>
    <w:rsid w:val="008563FF"/>
    <w:rsid w:val="0086018B"/>
    <w:rsid w:val="008611DD"/>
    <w:rsid w:val="008620DE"/>
    <w:rsid w:val="00866867"/>
    <w:rsid w:val="00872257"/>
    <w:rsid w:val="00874CB5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181"/>
    <w:rsid w:val="008B0BF9"/>
    <w:rsid w:val="008B2866"/>
    <w:rsid w:val="008B3859"/>
    <w:rsid w:val="008B436D"/>
    <w:rsid w:val="008B4E49"/>
    <w:rsid w:val="008B7712"/>
    <w:rsid w:val="008B7B26"/>
    <w:rsid w:val="008C05B4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111B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4A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95057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69E6"/>
    <w:rsid w:val="009E7D90"/>
    <w:rsid w:val="009F1AB0"/>
    <w:rsid w:val="009F501D"/>
    <w:rsid w:val="00A039D5"/>
    <w:rsid w:val="00A046AD"/>
    <w:rsid w:val="00A0752E"/>
    <w:rsid w:val="00A079C1"/>
    <w:rsid w:val="00A12520"/>
    <w:rsid w:val="00A130FD"/>
    <w:rsid w:val="00A13D6D"/>
    <w:rsid w:val="00A14769"/>
    <w:rsid w:val="00A16151"/>
    <w:rsid w:val="00A16DD6"/>
    <w:rsid w:val="00A16EC6"/>
    <w:rsid w:val="00A17C06"/>
    <w:rsid w:val="00A2126E"/>
    <w:rsid w:val="00A21706"/>
    <w:rsid w:val="00A24FCC"/>
    <w:rsid w:val="00A25B89"/>
    <w:rsid w:val="00A26A90"/>
    <w:rsid w:val="00A26B27"/>
    <w:rsid w:val="00A26D5F"/>
    <w:rsid w:val="00A30E4F"/>
    <w:rsid w:val="00A32253"/>
    <w:rsid w:val="00A3310E"/>
    <w:rsid w:val="00A333A0"/>
    <w:rsid w:val="00A3779D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7222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19D2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0256"/>
    <w:rsid w:val="00BF3DDE"/>
    <w:rsid w:val="00BF6589"/>
    <w:rsid w:val="00BF6F7F"/>
    <w:rsid w:val="00C00647"/>
    <w:rsid w:val="00C02764"/>
    <w:rsid w:val="00C02FE0"/>
    <w:rsid w:val="00C04CEF"/>
    <w:rsid w:val="00C0662F"/>
    <w:rsid w:val="00C11943"/>
    <w:rsid w:val="00C12E96"/>
    <w:rsid w:val="00C14763"/>
    <w:rsid w:val="00C16141"/>
    <w:rsid w:val="00C23634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1CBC"/>
    <w:rsid w:val="00C54A3A"/>
    <w:rsid w:val="00C55566"/>
    <w:rsid w:val="00C56448"/>
    <w:rsid w:val="00C667BE"/>
    <w:rsid w:val="00C6766B"/>
    <w:rsid w:val="00C72223"/>
    <w:rsid w:val="00C73E39"/>
    <w:rsid w:val="00C76417"/>
    <w:rsid w:val="00C7726F"/>
    <w:rsid w:val="00C77590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2F9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5E2"/>
    <w:rsid w:val="00D16820"/>
    <w:rsid w:val="00D169C8"/>
    <w:rsid w:val="00D1793F"/>
    <w:rsid w:val="00D22AF5"/>
    <w:rsid w:val="00D235EA"/>
    <w:rsid w:val="00D247A9"/>
    <w:rsid w:val="00D25682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16F4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AEB"/>
    <w:rsid w:val="00D75A45"/>
    <w:rsid w:val="00D76EC9"/>
    <w:rsid w:val="00D80E7D"/>
    <w:rsid w:val="00D81397"/>
    <w:rsid w:val="00D848B9"/>
    <w:rsid w:val="00D90E69"/>
    <w:rsid w:val="00D91330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0ECC"/>
    <w:rsid w:val="00F115CA"/>
    <w:rsid w:val="00F133A5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5282"/>
    <w:rsid w:val="00F43390"/>
    <w:rsid w:val="00F443B2"/>
    <w:rsid w:val="00F458D8"/>
    <w:rsid w:val="00F46287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B7BCF"/>
    <w:rsid w:val="00FC255F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DD855E"/>
  <w15:docId w15:val="{2617DE27-C4A0-4144-A600-442C0C12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204C4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Swiatek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Pałka Zbigniew  (DL)</dc:creator>
  <cp:lastModifiedBy>Malinowska-Hussain Anna  (DL)</cp:lastModifiedBy>
  <cp:revision>2</cp:revision>
  <cp:lastPrinted>2012-04-23T06:39:00Z</cp:lastPrinted>
  <dcterms:created xsi:type="dcterms:W3CDTF">2025-03-20T08:28:00Z</dcterms:created>
  <dcterms:modified xsi:type="dcterms:W3CDTF">2025-03-20T08:28:00Z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